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25" w:rsidRPr="00442525" w:rsidRDefault="00382C4F" w:rsidP="000F1026">
      <w:pPr>
        <w:jc w:val="center"/>
        <w:rPr>
          <w:b/>
        </w:rPr>
      </w:pPr>
      <w:r w:rsidRPr="00442525">
        <w:rPr>
          <w:b/>
        </w:rPr>
        <w:t>Comunicado</w:t>
      </w:r>
      <w:r w:rsidR="00442525" w:rsidRPr="00442525">
        <w:rPr>
          <w:b/>
        </w:rPr>
        <w:t xml:space="preserve"> público de participantes en los eventos</w:t>
      </w:r>
    </w:p>
    <w:p w:rsidR="00B11777" w:rsidRPr="00442525" w:rsidRDefault="00442525" w:rsidP="000F1026">
      <w:pPr>
        <w:jc w:val="center"/>
        <w:rPr>
          <w:b/>
        </w:rPr>
      </w:pPr>
      <w:r w:rsidRPr="00442525">
        <w:rPr>
          <w:b/>
        </w:rPr>
        <w:t xml:space="preserve"> de </w:t>
      </w:r>
      <w:proofErr w:type="spellStart"/>
      <w:r w:rsidRPr="00442525">
        <w:rPr>
          <w:b/>
        </w:rPr>
        <w:t>Habitat</w:t>
      </w:r>
      <w:proofErr w:type="spellEnd"/>
      <w:r w:rsidRPr="00442525">
        <w:rPr>
          <w:b/>
        </w:rPr>
        <w:t xml:space="preserve"> III, del Seminario Hacia un Hábitat 3 Alternativo y de Resistencia Hábitat III</w:t>
      </w:r>
      <w:r w:rsidR="00B11777" w:rsidRPr="00442525">
        <w:rPr>
          <w:b/>
        </w:rPr>
        <w:t>:</w:t>
      </w:r>
    </w:p>
    <w:p w:rsidR="00141643" w:rsidRPr="00442525" w:rsidRDefault="000F1026" w:rsidP="000F1026">
      <w:pPr>
        <w:jc w:val="center"/>
        <w:rPr>
          <w:b/>
        </w:rPr>
      </w:pPr>
      <w:r w:rsidRPr="00442525">
        <w:rPr>
          <w:b/>
        </w:rPr>
        <w:t xml:space="preserve">PAZ YA SIN DILACIONES PARA LOS HABITANTES, HÁBITATS Y TERRITORIOS </w:t>
      </w:r>
      <w:r w:rsidR="00B11777" w:rsidRPr="00442525">
        <w:rPr>
          <w:b/>
        </w:rPr>
        <w:t>COLOMBIA</w:t>
      </w:r>
      <w:r w:rsidRPr="00442525">
        <w:rPr>
          <w:b/>
        </w:rPr>
        <w:t>NOS</w:t>
      </w:r>
    </w:p>
    <w:p w:rsidR="00442525" w:rsidRPr="00442525" w:rsidRDefault="00442525" w:rsidP="000F1026">
      <w:pPr>
        <w:jc w:val="center"/>
      </w:pPr>
      <w:r w:rsidRPr="00442525">
        <w:rPr>
          <w:b/>
        </w:rPr>
        <w:t>Quito, 17 al 20 de octubre de 2016</w:t>
      </w:r>
    </w:p>
    <w:p w:rsidR="00382C4F" w:rsidRPr="00442525" w:rsidRDefault="00382C4F">
      <w:pPr>
        <w:rPr>
          <w:sz w:val="20"/>
        </w:rPr>
      </w:pPr>
      <w:r w:rsidRPr="00442525">
        <w:rPr>
          <w:sz w:val="20"/>
        </w:rPr>
        <w:t xml:space="preserve">Mujeres y hombres </w:t>
      </w:r>
      <w:r w:rsidR="0038494E" w:rsidRPr="00442525">
        <w:rPr>
          <w:sz w:val="20"/>
        </w:rPr>
        <w:t xml:space="preserve">de diferentes países del mundo </w:t>
      </w:r>
      <w:r w:rsidRPr="00442525">
        <w:rPr>
          <w:sz w:val="20"/>
        </w:rPr>
        <w:t>reunidos</w:t>
      </w:r>
      <w:r w:rsidR="000F1026" w:rsidRPr="00442525">
        <w:rPr>
          <w:sz w:val="20"/>
        </w:rPr>
        <w:t xml:space="preserve"> en Quito</w:t>
      </w:r>
      <w:r w:rsidRPr="00442525">
        <w:rPr>
          <w:sz w:val="20"/>
        </w:rPr>
        <w:t xml:space="preserve">, investigadores, líderes, miembros de comunidades y ciudadanos, pertenecientes a grupos académicos y de investigación, universidades, organizaciones comunitarias y no gubernamentales y a entidades estatales, </w:t>
      </w:r>
      <w:r w:rsidR="000F0680" w:rsidRPr="00442525">
        <w:rPr>
          <w:sz w:val="20"/>
        </w:rPr>
        <w:t xml:space="preserve"> </w:t>
      </w:r>
      <w:r w:rsidR="00D76734" w:rsidRPr="00442525">
        <w:rPr>
          <w:sz w:val="20"/>
        </w:rPr>
        <w:t xml:space="preserve">participantes </w:t>
      </w:r>
      <w:r w:rsidR="007B01B5">
        <w:rPr>
          <w:sz w:val="20"/>
        </w:rPr>
        <w:t xml:space="preserve">en </w:t>
      </w:r>
      <w:r w:rsidR="000F1026" w:rsidRPr="00442525">
        <w:rPr>
          <w:sz w:val="20"/>
        </w:rPr>
        <w:t>las convocatorias de</w:t>
      </w:r>
      <w:r w:rsidR="00D76734" w:rsidRPr="00442525">
        <w:rPr>
          <w:sz w:val="20"/>
        </w:rPr>
        <w:t xml:space="preserve"> </w:t>
      </w:r>
      <w:r w:rsidR="007B01B5">
        <w:rPr>
          <w:b/>
          <w:sz w:val="20"/>
        </w:rPr>
        <w:t>Há</w:t>
      </w:r>
      <w:r w:rsidR="00D76734" w:rsidRPr="00442525">
        <w:rPr>
          <w:b/>
          <w:sz w:val="20"/>
        </w:rPr>
        <w:t>bitat III</w:t>
      </w:r>
      <w:r w:rsidR="00D76734" w:rsidRPr="00442525">
        <w:rPr>
          <w:sz w:val="20"/>
        </w:rPr>
        <w:t xml:space="preserve">, </w:t>
      </w:r>
      <w:r w:rsidR="000F1026" w:rsidRPr="00442525">
        <w:rPr>
          <w:sz w:val="20"/>
        </w:rPr>
        <w:t>d</w:t>
      </w:r>
      <w:r w:rsidR="0054617E" w:rsidRPr="00442525">
        <w:rPr>
          <w:sz w:val="20"/>
        </w:rPr>
        <w:t xml:space="preserve">el </w:t>
      </w:r>
      <w:r w:rsidR="007B01B5">
        <w:rPr>
          <w:b/>
          <w:sz w:val="20"/>
        </w:rPr>
        <w:t>Seminario Hacia un Há</w:t>
      </w:r>
      <w:r w:rsidR="0054617E" w:rsidRPr="00442525">
        <w:rPr>
          <w:b/>
          <w:sz w:val="20"/>
        </w:rPr>
        <w:t xml:space="preserve">bitat 3 </w:t>
      </w:r>
      <w:r w:rsidR="000F0680" w:rsidRPr="00442525">
        <w:rPr>
          <w:b/>
          <w:sz w:val="20"/>
        </w:rPr>
        <w:t>Alternativo</w:t>
      </w:r>
      <w:r w:rsidR="00D76734" w:rsidRPr="00442525">
        <w:rPr>
          <w:sz w:val="20"/>
        </w:rPr>
        <w:t xml:space="preserve"> y </w:t>
      </w:r>
      <w:r w:rsidR="000F1026" w:rsidRPr="00442525">
        <w:rPr>
          <w:sz w:val="20"/>
        </w:rPr>
        <w:t>de</w:t>
      </w:r>
      <w:r w:rsidR="00D76734" w:rsidRPr="00442525">
        <w:rPr>
          <w:sz w:val="20"/>
        </w:rPr>
        <w:t xml:space="preserve"> </w:t>
      </w:r>
      <w:r w:rsidR="00D76734" w:rsidRPr="00442525">
        <w:rPr>
          <w:b/>
          <w:sz w:val="20"/>
        </w:rPr>
        <w:t>Resistencia Hábitat III</w:t>
      </w:r>
      <w:r w:rsidR="000F0680" w:rsidRPr="00442525">
        <w:rPr>
          <w:sz w:val="20"/>
        </w:rPr>
        <w:t>, entre el 17 y el 20 de octubre</w:t>
      </w:r>
      <w:r w:rsidR="000F1026" w:rsidRPr="00442525">
        <w:rPr>
          <w:sz w:val="20"/>
        </w:rPr>
        <w:t xml:space="preserve"> de 2016</w:t>
      </w:r>
      <w:r w:rsidR="000F0680" w:rsidRPr="00442525">
        <w:rPr>
          <w:sz w:val="20"/>
        </w:rPr>
        <w:t xml:space="preserve">, </w:t>
      </w:r>
      <w:r w:rsidRPr="00442525">
        <w:rPr>
          <w:sz w:val="20"/>
        </w:rPr>
        <w:t>manifestamos nuestra solidaridad con el pueblo colombiano</w:t>
      </w:r>
      <w:r w:rsidR="000F1026" w:rsidRPr="00442525">
        <w:rPr>
          <w:sz w:val="20"/>
        </w:rPr>
        <w:t>,</w:t>
      </w:r>
      <w:r w:rsidRPr="00442525">
        <w:rPr>
          <w:sz w:val="20"/>
        </w:rPr>
        <w:t xml:space="preserve"> en su afán por la búsqueda de la paz</w:t>
      </w:r>
      <w:r w:rsidR="00446DCD" w:rsidRPr="00442525">
        <w:rPr>
          <w:sz w:val="20"/>
        </w:rPr>
        <w:t xml:space="preserve">, </w:t>
      </w:r>
      <w:r w:rsidR="007B01B5">
        <w:rPr>
          <w:sz w:val="20"/>
        </w:rPr>
        <w:t>y</w:t>
      </w:r>
      <w:r w:rsidR="000F1026" w:rsidRPr="00442525">
        <w:rPr>
          <w:sz w:val="20"/>
        </w:rPr>
        <w:t xml:space="preserve"> exhortamos a que </w:t>
      </w:r>
      <w:r w:rsidR="00446DCD" w:rsidRPr="00442525">
        <w:rPr>
          <w:sz w:val="20"/>
        </w:rPr>
        <w:t xml:space="preserve">la comunidad internacional vele por </w:t>
      </w:r>
      <w:r w:rsidR="000F1026" w:rsidRPr="00442525">
        <w:rPr>
          <w:sz w:val="20"/>
        </w:rPr>
        <w:t xml:space="preserve">una pronta </w:t>
      </w:r>
      <w:r w:rsidR="00446DCD" w:rsidRPr="00442525">
        <w:rPr>
          <w:sz w:val="20"/>
        </w:rPr>
        <w:t>concre</w:t>
      </w:r>
      <w:r w:rsidR="000F1026" w:rsidRPr="00442525">
        <w:rPr>
          <w:sz w:val="20"/>
        </w:rPr>
        <w:t xml:space="preserve">ción de </w:t>
      </w:r>
      <w:r w:rsidR="00446DCD" w:rsidRPr="00442525">
        <w:rPr>
          <w:sz w:val="20"/>
        </w:rPr>
        <w:t>los acuerdos conducentes a su logro</w:t>
      </w:r>
      <w:r w:rsidRPr="00442525">
        <w:rPr>
          <w:sz w:val="20"/>
        </w:rPr>
        <w:t>.</w:t>
      </w:r>
    </w:p>
    <w:p w:rsidR="00382C4F" w:rsidRPr="00442525" w:rsidRDefault="000F1026">
      <w:pPr>
        <w:rPr>
          <w:sz w:val="20"/>
        </w:rPr>
      </w:pPr>
      <w:r w:rsidRPr="00442525">
        <w:rPr>
          <w:sz w:val="20"/>
        </w:rPr>
        <w:t>Reconocemos las profundas implicaciones políticas y sociales de este momento nacional, tras la negativa obtenida en el plebiscito el pasado 2 de octubre</w:t>
      </w:r>
      <w:r w:rsidR="007B01B5">
        <w:rPr>
          <w:sz w:val="20"/>
        </w:rPr>
        <w:t xml:space="preserve"> por una escasa </w:t>
      </w:r>
      <w:r w:rsidR="0047427A">
        <w:rPr>
          <w:sz w:val="20"/>
        </w:rPr>
        <w:t>diferencia</w:t>
      </w:r>
      <w:r w:rsidRPr="00442525">
        <w:rPr>
          <w:sz w:val="20"/>
        </w:rPr>
        <w:t>, y s</w:t>
      </w:r>
      <w:r w:rsidR="00382C4F" w:rsidRPr="00442525">
        <w:rPr>
          <w:sz w:val="20"/>
        </w:rPr>
        <w:t>omos conscientes de</w:t>
      </w:r>
      <w:r w:rsidRPr="00442525">
        <w:rPr>
          <w:sz w:val="20"/>
        </w:rPr>
        <w:t xml:space="preserve"> la fragilidad implícita en la situación </w:t>
      </w:r>
      <w:r w:rsidR="00382C4F" w:rsidRPr="00442525">
        <w:rPr>
          <w:sz w:val="20"/>
        </w:rPr>
        <w:t xml:space="preserve">de incertidumbre </w:t>
      </w:r>
      <w:r w:rsidRPr="00442525">
        <w:rPr>
          <w:sz w:val="20"/>
        </w:rPr>
        <w:t xml:space="preserve">de allí derivada </w:t>
      </w:r>
      <w:r w:rsidR="00382C4F" w:rsidRPr="00442525">
        <w:rPr>
          <w:sz w:val="20"/>
        </w:rPr>
        <w:t xml:space="preserve">y </w:t>
      </w:r>
      <w:r w:rsidRPr="00442525">
        <w:rPr>
          <w:sz w:val="20"/>
        </w:rPr>
        <w:t xml:space="preserve">del </w:t>
      </w:r>
      <w:r w:rsidR="00382C4F" w:rsidRPr="00442525">
        <w:rPr>
          <w:sz w:val="20"/>
        </w:rPr>
        <w:t>riesgo por el cual atraviesa la el Acuerdo de Paz firmado entre el Gob</w:t>
      </w:r>
      <w:r w:rsidRPr="00442525">
        <w:rPr>
          <w:sz w:val="20"/>
        </w:rPr>
        <w:t>ierno de Colombia y las FARC-</w:t>
      </w:r>
      <w:proofErr w:type="spellStart"/>
      <w:r w:rsidRPr="00442525">
        <w:rPr>
          <w:sz w:val="20"/>
        </w:rPr>
        <w:t>EP</w:t>
      </w:r>
      <w:proofErr w:type="spellEnd"/>
      <w:r w:rsidRPr="00442525">
        <w:rPr>
          <w:sz w:val="20"/>
        </w:rPr>
        <w:t>.</w:t>
      </w:r>
    </w:p>
    <w:p w:rsidR="00382C4F" w:rsidRPr="00442525" w:rsidRDefault="00382C4F">
      <w:pPr>
        <w:rPr>
          <w:sz w:val="20"/>
        </w:rPr>
      </w:pPr>
      <w:r w:rsidRPr="00442525">
        <w:rPr>
          <w:sz w:val="20"/>
        </w:rPr>
        <w:t>Como parte de la comunidad mundial que trabaja sobre los asuntos del hábitat, resaltamos cómo el conflicto armado colombiano ha const</w:t>
      </w:r>
      <w:r w:rsidR="00442525">
        <w:rPr>
          <w:sz w:val="20"/>
        </w:rPr>
        <w:t>ituido uno de los impedimentos determinantes</w:t>
      </w:r>
      <w:r w:rsidRPr="00442525">
        <w:rPr>
          <w:sz w:val="20"/>
        </w:rPr>
        <w:t xml:space="preserve"> más fuertes para lograr los anhelados derechos a una vivienda digna, a la seguridad de tenencia, a la estabilidad territorial y a la ciudad, constituyendo dicho conflicto una de las más graves brechas para lograrlo</w:t>
      </w:r>
      <w:r w:rsidR="00442525" w:rsidRPr="00442525">
        <w:rPr>
          <w:sz w:val="20"/>
        </w:rPr>
        <w:t xml:space="preserve">. Ello se expresa </w:t>
      </w:r>
      <w:r w:rsidRPr="00442525">
        <w:rPr>
          <w:sz w:val="20"/>
        </w:rPr>
        <w:t>en los más de seis millones de des</w:t>
      </w:r>
      <w:bookmarkStart w:id="0" w:name="_GoBack"/>
      <w:bookmarkEnd w:id="0"/>
      <w:r w:rsidRPr="00442525">
        <w:rPr>
          <w:sz w:val="20"/>
        </w:rPr>
        <w:t xml:space="preserve">plazados por los diferentes actores </w:t>
      </w:r>
      <w:r w:rsidR="00442525" w:rsidRPr="00442525">
        <w:rPr>
          <w:sz w:val="20"/>
        </w:rPr>
        <w:t xml:space="preserve">de la </w:t>
      </w:r>
      <w:r w:rsidRPr="00442525">
        <w:rPr>
          <w:sz w:val="20"/>
        </w:rPr>
        <w:t xml:space="preserve">confrontación </w:t>
      </w:r>
      <w:r w:rsidR="00442525" w:rsidRPr="00442525">
        <w:rPr>
          <w:sz w:val="20"/>
        </w:rPr>
        <w:t xml:space="preserve">armada </w:t>
      </w:r>
      <w:r w:rsidRPr="00442525">
        <w:rPr>
          <w:sz w:val="20"/>
        </w:rPr>
        <w:t xml:space="preserve">y en la destrucción de </w:t>
      </w:r>
      <w:r w:rsidR="00442525" w:rsidRPr="00442525">
        <w:rPr>
          <w:sz w:val="20"/>
        </w:rPr>
        <w:t xml:space="preserve">sus hábitats, </w:t>
      </w:r>
      <w:r w:rsidRPr="00442525">
        <w:rPr>
          <w:sz w:val="20"/>
        </w:rPr>
        <w:t>pueblos y sociedades enteras. Así mismo</w:t>
      </w:r>
      <w:r w:rsidR="00442525" w:rsidRPr="00442525">
        <w:rPr>
          <w:sz w:val="20"/>
        </w:rPr>
        <w:t>,</w:t>
      </w:r>
      <w:r w:rsidRPr="00442525">
        <w:rPr>
          <w:sz w:val="20"/>
        </w:rPr>
        <w:t xml:space="preserve"> </w:t>
      </w:r>
      <w:r w:rsidR="00442525" w:rsidRPr="00442525">
        <w:rPr>
          <w:sz w:val="20"/>
        </w:rPr>
        <w:t xml:space="preserve">resaltamos el hecho de que </w:t>
      </w:r>
      <w:r w:rsidRPr="00442525">
        <w:rPr>
          <w:sz w:val="20"/>
        </w:rPr>
        <w:t xml:space="preserve">dicho conflicto armado ha constituido una de las grandes barreras para lograr una gestión </w:t>
      </w:r>
      <w:r w:rsidR="00442525" w:rsidRPr="00442525">
        <w:rPr>
          <w:sz w:val="20"/>
        </w:rPr>
        <w:t xml:space="preserve">democrática </w:t>
      </w:r>
      <w:r w:rsidRPr="00442525">
        <w:rPr>
          <w:sz w:val="20"/>
        </w:rPr>
        <w:t>territorial y del hábitat, dado que la participación en los escenarios ins</w:t>
      </w:r>
      <w:r w:rsidR="00442525" w:rsidRPr="00442525">
        <w:rPr>
          <w:sz w:val="20"/>
        </w:rPr>
        <w:t>titucionales de toma de decisiones</w:t>
      </w:r>
      <w:r w:rsidRPr="00442525">
        <w:rPr>
          <w:sz w:val="20"/>
        </w:rPr>
        <w:t xml:space="preserve"> </w:t>
      </w:r>
      <w:r w:rsidR="007B01B5">
        <w:rPr>
          <w:sz w:val="20"/>
        </w:rPr>
        <w:t xml:space="preserve">es </w:t>
      </w:r>
      <w:r w:rsidR="00442525" w:rsidRPr="00442525">
        <w:rPr>
          <w:sz w:val="20"/>
        </w:rPr>
        <w:t xml:space="preserve">fuertemente </w:t>
      </w:r>
      <w:r w:rsidRPr="00442525">
        <w:rPr>
          <w:sz w:val="20"/>
        </w:rPr>
        <w:t>vulnerada o negada por el ejercicio antidemocrático de las acciones armadas.</w:t>
      </w:r>
    </w:p>
    <w:p w:rsidR="00382C4F" w:rsidRPr="00442525" w:rsidRDefault="007B01B5">
      <w:pPr>
        <w:rPr>
          <w:sz w:val="20"/>
        </w:rPr>
      </w:pPr>
      <w:r>
        <w:rPr>
          <w:sz w:val="20"/>
        </w:rPr>
        <w:t>E</w:t>
      </w:r>
      <w:r w:rsidR="00382C4F" w:rsidRPr="00442525">
        <w:rPr>
          <w:sz w:val="20"/>
        </w:rPr>
        <w:t xml:space="preserve">s nuestro deber </w:t>
      </w:r>
      <w:r>
        <w:rPr>
          <w:sz w:val="20"/>
        </w:rPr>
        <w:t xml:space="preserve">ético </w:t>
      </w:r>
      <w:r w:rsidR="00382C4F" w:rsidRPr="00442525">
        <w:rPr>
          <w:sz w:val="20"/>
        </w:rPr>
        <w:t>solidarizarnos con los millones de víctimas del conflicto armado</w:t>
      </w:r>
      <w:r w:rsidR="0054617E" w:rsidRPr="00442525">
        <w:rPr>
          <w:sz w:val="20"/>
        </w:rPr>
        <w:t xml:space="preserve"> colombiano</w:t>
      </w:r>
      <w:r w:rsidR="00382C4F" w:rsidRPr="00442525">
        <w:rPr>
          <w:sz w:val="20"/>
        </w:rPr>
        <w:t xml:space="preserve">, sin diferenciar sus orígenes, con las poblaciones </w:t>
      </w:r>
      <w:r w:rsidR="00F531E2" w:rsidRPr="00442525">
        <w:rPr>
          <w:sz w:val="20"/>
        </w:rPr>
        <w:t>campesina</w:t>
      </w:r>
      <w:r w:rsidR="00382C4F" w:rsidRPr="00442525">
        <w:rPr>
          <w:sz w:val="20"/>
        </w:rPr>
        <w:t>s e indígenas, con los habitantes en condición de desplazamiento que sobreviven en las ciudades colombianas</w:t>
      </w:r>
      <w:r w:rsidR="00F531E2" w:rsidRPr="00442525">
        <w:rPr>
          <w:sz w:val="20"/>
        </w:rPr>
        <w:t xml:space="preserve"> y con los territorios devastados por la guerra</w:t>
      </w:r>
      <w:r w:rsidR="00442525" w:rsidRPr="00442525">
        <w:rPr>
          <w:sz w:val="20"/>
        </w:rPr>
        <w:t>. R</w:t>
      </w:r>
      <w:r w:rsidR="00F531E2" w:rsidRPr="00442525">
        <w:rPr>
          <w:sz w:val="20"/>
        </w:rPr>
        <w:t xml:space="preserve">ecogiendo el espíritu de reconciliación </w:t>
      </w:r>
      <w:r w:rsidR="00442525" w:rsidRPr="00442525">
        <w:rPr>
          <w:sz w:val="20"/>
        </w:rPr>
        <w:t xml:space="preserve">expresado desde </w:t>
      </w:r>
      <w:r w:rsidR="00F531E2" w:rsidRPr="00442525">
        <w:rPr>
          <w:sz w:val="20"/>
        </w:rPr>
        <w:t>las enormes manifestaciones, marchas y concentraciones del pueblo colombiano que claman por la paz</w:t>
      </w:r>
      <w:r>
        <w:rPr>
          <w:sz w:val="20"/>
        </w:rPr>
        <w:t xml:space="preserve"> desde sus distintos territorios</w:t>
      </w:r>
      <w:r w:rsidR="00F531E2" w:rsidRPr="00442525">
        <w:rPr>
          <w:sz w:val="20"/>
        </w:rPr>
        <w:t xml:space="preserve">, hacemos </w:t>
      </w:r>
      <w:r w:rsidR="00382C4F" w:rsidRPr="00442525">
        <w:rPr>
          <w:sz w:val="20"/>
        </w:rPr>
        <w:t>un llamado a la sociedad y al Gobierno de Colombia para que con urgencia se concrete</w:t>
      </w:r>
      <w:r w:rsidR="00F531E2" w:rsidRPr="00442525">
        <w:rPr>
          <w:sz w:val="20"/>
        </w:rPr>
        <w:t xml:space="preserve">n los </w:t>
      </w:r>
      <w:r w:rsidR="00382C4F" w:rsidRPr="00442525">
        <w:rPr>
          <w:sz w:val="20"/>
        </w:rPr>
        <w:t>ACUERDO</w:t>
      </w:r>
      <w:r w:rsidR="00F531E2" w:rsidRPr="00442525">
        <w:rPr>
          <w:sz w:val="20"/>
        </w:rPr>
        <w:t>S</w:t>
      </w:r>
      <w:r w:rsidR="00382C4F" w:rsidRPr="00442525">
        <w:rPr>
          <w:sz w:val="20"/>
        </w:rPr>
        <w:t xml:space="preserve"> DE PAZ, sin caer en DILACIONES que pongan en riesgo el logro de esta oportunidad histórica, cristalizada </w:t>
      </w:r>
      <w:r w:rsidR="00442525" w:rsidRPr="00442525">
        <w:rPr>
          <w:sz w:val="20"/>
        </w:rPr>
        <w:t xml:space="preserve">hoy </w:t>
      </w:r>
      <w:r w:rsidR="00382C4F" w:rsidRPr="00442525">
        <w:rPr>
          <w:sz w:val="20"/>
        </w:rPr>
        <w:t xml:space="preserve">tras más de 52 años </w:t>
      </w:r>
      <w:r w:rsidR="00AE6F02" w:rsidRPr="00442525">
        <w:rPr>
          <w:sz w:val="20"/>
        </w:rPr>
        <w:t xml:space="preserve">de </w:t>
      </w:r>
      <w:r>
        <w:rPr>
          <w:sz w:val="20"/>
        </w:rPr>
        <w:t xml:space="preserve">haber sufrido </w:t>
      </w:r>
      <w:r w:rsidR="00442525">
        <w:rPr>
          <w:sz w:val="20"/>
        </w:rPr>
        <w:t>una de las más largas y</w:t>
      </w:r>
      <w:r w:rsidR="00382C4F" w:rsidRPr="00442525">
        <w:rPr>
          <w:sz w:val="20"/>
        </w:rPr>
        <w:t xml:space="preserve"> </w:t>
      </w:r>
      <w:r w:rsidR="00AE6F02" w:rsidRPr="00442525">
        <w:rPr>
          <w:sz w:val="20"/>
        </w:rPr>
        <w:t>fatídica</w:t>
      </w:r>
      <w:r w:rsidR="00442525">
        <w:rPr>
          <w:sz w:val="20"/>
        </w:rPr>
        <w:t>s</w:t>
      </w:r>
      <w:r w:rsidR="00AE6F02" w:rsidRPr="00442525">
        <w:rPr>
          <w:sz w:val="20"/>
        </w:rPr>
        <w:t xml:space="preserve"> </w:t>
      </w:r>
      <w:r w:rsidR="00382C4F" w:rsidRPr="00442525">
        <w:rPr>
          <w:sz w:val="20"/>
        </w:rPr>
        <w:t>guerra</w:t>
      </w:r>
      <w:r w:rsidR="00442525">
        <w:rPr>
          <w:sz w:val="20"/>
        </w:rPr>
        <w:t>s</w:t>
      </w:r>
      <w:r w:rsidR="00382C4F" w:rsidRPr="00442525">
        <w:rPr>
          <w:sz w:val="20"/>
        </w:rPr>
        <w:t xml:space="preserve"> entre hermanos.</w:t>
      </w:r>
    </w:p>
    <w:p w:rsidR="00442525" w:rsidRPr="00442525" w:rsidRDefault="00446DCD">
      <w:pPr>
        <w:rPr>
          <w:sz w:val="20"/>
        </w:rPr>
      </w:pPr>
      <w:r w:rsidRPr="00442525">
        <w:rPr>
          <w:sz w:val="20"/>
        </w:rPr>
        <w:t>Estando presente aquí</w:t>
      </w:r>
      <w:r w:rsidR="00442525">
        <w:rPr>
          <w:sz w:val="20"/>
        </w:rPr>
        <w:t>,</w:t>
      </w:r>
      <w:r w:rsidRPr="00442525">
        <w:rPr>
          <w:sz w:val="20"/>
        </w:rPr>
        <w:t xml:space="preserve"> en Quito</w:t>
      </w:r>
      <w:r w:rsidR="00442525">
        <w:rPr>
          <w:sz w:val="20"/>
        </w:rPr>
        <w:t>,</w:t>
      </w:r>
      <w:r w:rsidRPr="00442525">
        <w:rPr>
          <w:sz w:val="20"/>
        </w:rPr>
        <w:t xml:space="preserve"> tan amplio universo de </w:t>
      </w:r>
      <w:r w:rsidR="0038494E">
        <w:rPr>
          <w:sz w:val="20"/>
        </w:rPr>
        <w:t xml:space="preserve">personas y </w:t>
      </w:r>
      <w:r w:rsidRPr="00442525">
        <w:rPr>
          <w:sz w:val="20"/>
        </w:rPr>
        <w:t xml:space="preserve">organizaciones provenientes de </w:t>
      </w:r>
      <w:r w:rsidR="00442525">
        <w:rPr>
          <w:sz w:val="20"/>
        </w:rPr>
        <w:t xml:space="preserve">casi </w:t>
      </w:r>
      <w:r w:rsidRPr="00442525">
        <w:rPr>
          <w:sz w:val="20"/>
        </w:rPr>
        <w:t xml:space="preserve">todos los países del mundo, </w:t>
      </w:r>
      <w:r w:rsidR="00442525" w:rsidRPr="00442525">
        <w:rPr>
          <w:sz w:val="20"/>
        </w:rPr>
        <w:t xml:space="preserve">hacemos un llamado </w:t>
      </w:r>
      <w:r w:rsidRPr="00442525">
        <w:rPr>
          <w:sz w:val="20"/>
        </w:rPr>
        <w:t>a que se fortalezca</w:t>
      </w:r>
      <w:r w:rsidR="000F1026" w:rsidRPr="00442525">
        <w:rPr>
          <w:sz w:val="20"/>
        </w:rPr>
        <w:t xml:space="preserve"> </w:t>
      </w:r>
      <w:r w:rsidRPr="00442525">
        <w:rPr>
          <w:sz w:val="20"/>
        </w:rPr>
        <w:t xml:space="preserve">el respaldo internacional </w:t>
      </w:r>
      <w:r w:rsidR="007B01B5">
        <w:rPr>
          <w:sz w:val="20"/>
        </w:rPr>
        <w:t xml:space="preserve">que </w:t>
      </w:r>
      <w:r w:rsidR="00442525" w:rsidRPr="00442525">
        <w:rPr>
          <w:sz w:val="20"/>
        </w:rPr>
        <w:t xml:space="preserve">hasta ahora </w:t>
      </w:r>
      <w:r w:rsidR="007B01B5">
        <w:rPr>
          <w:sz w:val="20"/>
        </w:rPr>
        <w:t xml:space="preserve">se ha </w:t>
      </w:r>
      <w:r w:rsidR="00442525">
        <w:rPr>
          <w:sz w:val="20"/>
        </w:rPr>
        <w:t>brindado a</w:t>
      </w:r>
      <w:r w:rsidR="000F1026" w:rsidRPr="00442525">
        <w:rPr>
          <w:sz w:val="20"/>
        </w:rPr>
        <w:t xml:space="preserve">l proceso de paz </w:t>
      </w:r>
      <w:r w:rsidR="007B01B5">
        <w:rPr>
          <w:sz w:val="20"/>
        </w:rPr>
        <w:t xml:space="preserve">en </w:t>
      </w:r>
      <w:r w:rsidR="000F1026" w:rsidRPr="00442525">
        <w:rPr>
          <w:sz w:val="20"/>
        </w:rPr>
        <w:t xml:space="preserve">Colombia, para </w:t>
      </w:r>
      <w:r w:rsidR="00442525">
        <w:rPr>
          <w:sz w:val="20"/>
        </w:rPr>
        <w:t xml:space="preserve">lograr que se mantenga </w:t>
      </w:r>
      <w:r w:rsidR="000F1026" w:rsidRPr="00442525">
        <w:rPr>
          <w:sz w:val="20"/>
        </w:rPr>
        <w:t>el cese bilateral al fuego, la restitución a las víctimas de la guerra, la protección de los excombatientes</w:t>
      </w:r>
      <w:r w:rsidR="00442525" w:rsidRPr="00442525">
        <w:rPr>
          <w:sz w:val="20"/>
        </w:rPr>
        <w:t xml:space="preserve"> y</w:t>
      </w:r>
      <w:r w:rsidR="000F1026" w:rsidRPr="00442525">
        <w:rPr>
          <w:sz w:val="20"/>
        </w:rPr>
        <w:t xml:space="preserve"> la inclusión de la diversidad </w:t>
      </w:r>
      <w:r w:rsidR="00442525" w:rsidRPr="00442525">
        <w:rPr>
          <w:sz w:val="20"/>
        </w:rPr>
        <w:t>social</w:t>
      </w:r>
      <w:r w:rsidR="00D3783D">
        <w:rPr>
          <w:sz w:val="20"/>
        </w:rPr>
        <w:t>, de género</w:t>
      </w:r>
      <w:r w:rsidR="00442525" w:rsidRPr="00442525">
        <w:rPr>
          <w:sz w:val="20"/>
        </w:rPr>
        <w:t xml:space="preserve"> y territorial, </w:t>
      </w:r>
      <w:r w:rsidR="000F1026" w:rsidRPr="00442525">
        <w:rPr>
          <w:sz w:val="20"/>
        </w:rPr>
        <w:t xml:space="preserve">y </w:t>
      </w:r>
      <w:r w:rsidR="00442525" w:rsidRPr="00442525">
        <w:rPr>
          <w:sz w:val="20"/>
        </w:rPr>
        <w:t xml:space="preserve">para que </w:t>
      </w:r>
      <w:r w:rsidR="000F1026" w:rsidRPr="00442525">
        <w:rPr>
          <w:sz w:val="20"/>
        </w:rPr>
        <w:t xml:space="preserve">se </w:t>
      </w:r>
      <w:r w:rsidR="00442525">
        <w:rPr>
          <w:sz w:val="20"/>
        </w:rPr>
        <w:t xml:space="preserve">concreten </w:t>
      </w:r>
      <w:r w:rsidR="000F1026" w:rsidRPr="00442525">
        <w:rPr>
          <w:sz w:val="20"/>
        </w:rPr>
        <w:t xml:space="preserve">en el menor tiempo posible los </w:t>
      </w:r>
      <w:r w:rsidR="00442525">
        <w:rPr>
          <w:sz w:val="20"/>
        </w:rPr>
        <w:t xml:space="preserve">ajustes a los </w:t>
      </w:r>
      <w:r w:rsidR="000F1026" w:rsidRPr="00442525">
        <w:rPr>
          <w:sz w:val="20"/>
        </w:rPr>
        <w:t>acuerdos entre el Gobierno de Colombia y las FARC-</w:t>
      </w:r>
      <w:proofErr w:type="spellStart"/>
      <w:r w:rsidR="000F1026" w:rsidRPr="00442525">
        <w:rPr>
          <w:sz w:val="20"/>
        </w:rPr>
        <w:t>EP</w:t>
      </w:r>
      <w:proofErr w:type="spellEnd"/>
      <w:r w:rsidR="00442525" w:rsidRPr="00442525">
        <w:rPr>
          <w:sz w:val="20"/>
        </w:rPr>
        <w:t xml:space="preserve">. </w:t>
      </w:r>
    </w:p>
    <w:p w:rsidR="00446DCD" w:rsidRDefault="00442525">
      <w:pPr>
        <w:rPr>
          <w:sz w:val="20"/>
        </w:rPr>
      </w:pPr>
      <w:r>
        <w:rPr>
          <w:sz w:val="20"/>
        </w:rPr>
        <w:t>Finalmente</w:t>
      </w:r>
      <w:r w:rsidRPr="00442525">
        <w:rPr>
          <w:sz w:val="20"/>
        </w:rPr>
        <w:t xml:space="preserve">, dado el altísimo riesgo que conlleva </w:t>
      </w:r>
      <w:r>
        <w:rPr>
          <w:sz w:val="20"/>
        </w:rPr>
        <w:t xml:space="preserve">la </w:t>
      </w:r>
      <w:r w:rsidRPr="00442525">
        <w:rPr>
          <w:sz w:val="20"/>
        </w:rPr>
        <w:t>dilación</w:t>
      </w:r>
      <w:r>
        <w:rPr>
          <w:sz w:val="20"/>
        </w:rPr>
        <w:t xml:space="preserve"> de este proceso, </w:t>
      </w:r>
      <w:r w:rsidR="000F1026" w:rsidRPr="00442525">
        <w:rPr>
          <w:sz w:val="20"/>
        </w:rPr>
        <w:t xml:space="preserve">reclamamos compromisos claros </w:t>
      </w:r>
      <w:r>
        <w:rPr>
          <w:sz w:val="20"/>
        </w:rPr>
        <w:t>de inmediatez</w:t>
      </w:r>
      <w:r w:rsidRPr="00442525">
        <w:rPr>
          <w:sz w:val="20"/>
        </w:rPr>
        <w:t xml:space="preserve"> </w:t>
      </w:r>
      <w:r>
        <w:rPr>
          <w:sz w:val="20"/>
        </w:rPr>
        <w:t>a</w:t>
      </w:r>
      <w:r w:rsidR="000F1026" w:rsidRPr="00442525">
        <w:rPr>
          <w:sz w:val="20"/>
        </w:rPr>
        <w:t xml:space="preserve"> todos los actores implicados en la definición final de </w:t>
      </w:r>
      <w:r w:rsidRPr="00442525">
        <w:rPr>
          <w:sz w:val="20"/>
        </w:rPr>
        <w:t xml:space="preserve">dichos </w:t>
      </w:r>
      <w:r>
        <w:rPr>
          <w:sz w:val="20"/>
        </w:rPr>
        <w:t>acuerdos</w:t>
      </w:r>
      <w:r w:rsidR="000F1026" w:rsidRPr="00442525">
        <w:rPr>
          <w:sz w:val="20"/>
        </w:rPr>
        <w:t xml:space="preserve">, e insistimos </w:t>
      </w:r>
      <w:r w:rsidRPr="00442525">
        <w:rPr>
          <w:sz w:val="20"/>
        </w:rPr>
        <w:t xml:space="preserve">en </w:t>
      </w:r>
      <w:r w:rsidR="000F1026" w:rsidRPr="00442525">
        <w:rPr>
          <w:sz w:val="20"/>
        </w:rPr>
        <w:t xml:space="preserve">que el momento actual exige que se hagan todos los esfuerzos, hasta lo imposible, para que Colombia no </w:t>
      </w:r>
      <w:r w:rsidRPr="00442525">
        <w:rPr>
          <w:sz w:val="20"/>
        </w:rPr>
        <w:t xml:space="preserve">retorne </w:t>
      </w:r>
      <w:r w:rsidR="000F1026" w:rsidRPr="00442525">
        <w:rPr>
          <w:sz w:val="20"/>
        </w:rPr>
        <w:t xml:space="preserve">por el camino de </w:t>
      </w:r>
      <w:r>
        <w:rPr>
          <w:sz w:val="20"/>
        </w:rPr>
        <w:t xml:space="preserve">su dolorosa </w:t>
      </w:r>
      <w:r w:rsidR="00446DCD" w:rsidRPr="00442525">
        <w:rPr>
          <w:sz w:val="20"/>
        </w:rPr>
        <w:t>guerra</w:t>
      </w:r>
      <w:r w:rsidRPr="00442525">
        <w:rPr>
          <w:sz w:val="20"/>
        </w:rPr>
        <w:t xml:space="preserve"> fratricida</w:t>
      </w:r>
      <w:r w:rsidR="000F1026" w:rsidRPr="00442525">
        <w:rPr>
          <w:sz w:val="20"/>
        </w:rPr>
        <w:t>.</w:t>
      </w:r>
    </w:p>
    <w:p w:rsidR="00442525" w:rsidRPr="00442525" w:rsidRDefault="00442525">
      <w:pPr>
        <w:rPr>
          <w:sz w:val="20"/>
        </w:rPr>
      </w:pPr>
    </w:p>
    <w:p w:rsidR="00D76734" w:rsidRPr="00442525" w:rsidRDefault="007B01B5">
      <w:pPr>
        <w:rPr>
          <w:sz w:val="20"/>
        </w:rPr>
      </w:pPr>
      <w:r>
        <w:rPr>
          <w:sz w:val="20"/>
        </w:rPr>
        <w:t>Firmamos</w:t>
      </w:r>
      <w:r w:rsidR="00442525" w:rsidRPr="00442525">
        <w:rPr>
          <w:sz w:val="20"/>
        </w:rPr>
        <w:t xml:space="preserve"> </w:t>
      </w:r>
      <w:r w:rsidR="00D76734" w:rsidRPr="00442525">
        <w:rPr>
          <w:sz w:val="20"/>
        </w:rPr>
        <w:t>este comunicado</w:t>
      </w:r>
      <w:r w:rsidR="00442525" w:rsidRPr="00442525">
        <w:rPr>
          <w:sz w:val="20"/>
        </w:rPr>
        <w:t>,</w:t>
      </w: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418"/>
        <w:gridCol w:w="2835"/>
      </w:tblGrid>
      <w:tr w:rsidR="00442525" w:rsidRPr="000F1026" w:rsidTr="00442525">
        <w:trPr>
          <w:cantSplit/>
          <w:tblHeader/>
        </w:trPr>
        <w:tc>
          <w:tcPr>
            <w:tcW w:w="3085" w:type="dxa"/>
          </w:tcPr>
          <w:p w:rsidR="00442525" w:rsidRPr="000F1026" w:rsidRDefault="00442525" w:rsidP="002E49D9">
            <w:pPr>
              <w:jc w:val="left"/>
              <w:rPr>
                <w:b/>
                <w:sz w:val="18"/>
                <w:szCs w:val="20"/>
              </w:rPr>
            </w:pPr>
            <w:r w:rsidRPr="000F1026">
              <w:rPr>
                <w:b/>
                <w:sz w:val="18"/>
                <w:szCs w:val="20"/>
              </w:rPr>
              <w:t>Nombre y apellido</w:t>
            </w:r>
          </w:p>
        </w:tc>
        <w:tc>
          <w:tcPr>
            <w:tcW w:w="1418" w:type="dxa"/>
          </w:tcPr>
          <w:p w:rsidR="00442525" w:rsidRPr="000F1026" w:rsidRDefault="00442525" w:rsidP="002E49D9">
            <w:pPr>
              <w:jc w:val="left"/>
              <w:rPr>
                <w:b/>
                <w:sz w:val="18"/>
                <w:szCs w:val="20"/>
              </w:rPr>
            </w:pPr>
            <w:r w:rsidRPr="000F1026">
              <w:rPr>
                <w:b/>
                <w:sz w:val="18"/>
                <w:szCs w:val="20"/>
              </w:rPr>
              <w:t>Documento de identificación</w:t>
            </w:r>
          </w:p>
        </w:tc>
        <w:tc>
          <w:tcPr>
            <w:tcW w:w="1417" w:type="dxa"/>
          </w:tcPr>
          <w:p w:rsidR="00442525" w:rsidRPr="000F1026" w:rsidRDefault="00442525" w:rsidP="002E49D9">
            <w:pPr>
              <w:jc w:val="left"/>
              <w:rPr>
                <w:b/>
                <w:sz w:val="18"/>
                <w:szCs w:val="20"/>
              </w:rPr>
            </w:pPr>
            <w:r w:rsidRPr="000F1026">
              <w:rPr>
                <w:b/>
                <w:sz w:val="18"/>
                <w:szCs w:val="20"/>
              </w:rPr>
              <w:t>Nacionalidad</w:t>
            </w:r>
          </w:p>
        </w:tc>
        <w:tc>
          <w:tcPr>
            <w:tcW w:w="1418" w:type="dxa"/>
          </w:tcPr>
          <w:p w:rsidR="00442525" w:rsidRPr="000F1026" w:rsidRDefault="00442525" w:rsidP="002E49D9">
            <w:pPr>
              <w:jc w:val="left"/>
              <w:rPr>
                <w:b/>
                <w:sz w:val="18"/>
                <w:szCs w:val="20"/>
              </w:rPr>
            </w:pPr>
            <w:r w:rsidRPr="000F1026">
              <w:rPr>
                <w:b/>
                <w:sz w:val="18"/>
                <w:szCs w:val="20"/>
              </w:rPr>
              <w:t>País de residencia</w:t>
            </w:r>
          </w:p>
        </w:tc>
        <w:tc>
          <w:tcPr>
            <w:tcW w:w="2835" w:type="dxa"/>
          </w:tcPr>
          <w:p w:rsidR="00442525" w:rsidRPr="000F1026" w:rsidRDefault="00442525" w:rsidP="002E49D9">
            <w:pPr>
              <w:jc w:val="left"/>
              <w:rPr>
                <w:b/>
                <w:sz w:val="18"/>
                <w:szCs w:val="20"/>
              </w:rPr>
            </w:pPr>
            <w:r w:rsidRPr="000F1026">
              <w:rPr>
                <w:b/>
                <w:sz w:val="18"/>
                <w:szCs w:val="20"/>
              </w:rPr>
              <w:t>Grupo, entidad, organización o comunidad a la cual pertenece o representa</w:t>
            </w: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442525" w:rsidRPr="000F1026" w:rsidTr="00442525">
        <w:tc>
          <w:tcPr>
            <w:tcW w:w="3085" w:type="dxa"/>
          </w:tcPr>
          <w:p w:rsidR="00442525" w:rsidRDefault="00442525" w:rsidP="002E49D9">
            <w:pPr>
              <w:rPr>
                <w:sz w:val="20"/>
                <w:szCs w:val="20"/>
              </w:rPr>
            </w:pPr>
          </w:p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2525" w:rsidRPr="000F1026" w:rsidRDefault="00442525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rPr>
          <w:cantSplit/>
          <w:tblHeader/>
        </w:trPr>
        <w:tc>
          <w:tcPr>
            <w:tcW w:w="3085" w:type="dxa"/>
          </w:tcPr>
          <w:p w:rsidR="000F1026" w:rsidRDefault="000F1026" w:rsidP="000F1026">
            <w:pPr>
              <w:jc w:val="left"/>
              <w:rPr>
                <w:b/>
                <w:sz w:val="18"/>
                <w:szCs w:val="20"/>
              </w:rPr>
            </w:pPr>
          </w:p>
          <w:p w:rsidR="007B01B5" w:rsidRPr="000F1026" w:rsidRDefault="007B01B5" w:rsidP="000F1026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0F1026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0F1026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0F1026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0F1026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>
            <w:pPr>
              <w:rPr>
                <w:sz w:val="20"/>
                <w:szCs w:val="20"/>
              </w:rPr>
            </w:pPr>
          </w:p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7B01B5">
        <w:trPr>
          <w:trHeight w:val="297"/>
        </w:trPr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  <w:tr w:rsidR="000F1026" w:rsidRPr="000F1026" w:rsidTr="00442525">
        <w:tc>
          <w:tcPr>
            <w:tcW w:w="3085" w:type="dxa"/>
          </w:tcPr>
          <w:p w:rsidR="000F1026" w:rsidRDefault="000F1026" w:rsidP="002E49D9">
            <w:pPr>
              <w:rPr>
                <w:sz w:val="20"/>
                <w:szCs w:val="20"/>
              </w:rPr>
            </w:pPr>
          </w:p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1026" w:rsidRPr="000F1026" w:rsidRDefault="000F1026" w:rsidP="002E49D9">
            <w:pPr>
              <w:rPr>
                <w:sz w:val="20"/>
                <w:szCs w:val="20"/>
              </w:rPr>
            </w:pPr>
          </w:p>
        </w:tc>
      </w:tr>
    </w:tbl>
    <w:p w:rsidR="00D76734" w:rsidRDefault="00D76734" w:rsidP="00003D34"/>
    <w:sectPr w:rsidR="00D76734" w:rsidSect="007B01B5">
      <w:pgSz w:w="12240" w:h="15840"/>
      <w:pgMar w:top="993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4F"/>
    <w:rsid w:val="000036EB"/>
    <w:rsid w:val="00003D34"/>
    <w:rsid w:val="000F0680"/>
    <w:rsid w:val="000F1026"/>
    <w:rsid w:val="00141643"/>
    <w:rsid w:val="00382C4F"/>
    <w:rsid w:val="0038494E"/>
    <w:rsid w:val="00442525"/>
    <w:rsid w:val="00446DCD"/>
    <w:rsid w:val="0047427A"/>
    <w:rsid w:val="0054617E"/>
    <w:rsid w:val="006E7E3A"/>
    <w:rsid w:val="00793F6E"/>
    <w:rsid w:val="007B01B5"/>
    <w:rsid w:val="007D68DB"/>
    <w:rsid w:val="00950E2C"/>
    <w:rsid w:val="009C3406"/>
    <w:rsid w:val="00AE6F02"/>
    <w:rsid w:val="00AF5A91"/>
    <w:rsid w:val="00B11777"/>
    <w:rsid w:val="00BB2464"/>
    <w:rsid w:val="00BF16D4"/>
    <w:rsid w:val="00BF3D6E"/>
    <w:rsid w:val="00D3783D"/>
    <w:rsid w:val="00D76734"/>
    <w:rsid w:val="00ED3C4D"/>
    <w:rsid w:val="00EF5644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936C1-32A3-4F0A-9A35-8874CA55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 Text Char Char,Footnote Text1 Char,Footnote Text Char Char Char Char"/>
    <w:basedOn w:val="Normal"/>
    <w:link w:val="TextonotapieCar"/>
    <w:uiPriority w:val="99"/>
    <w:unhideWhenUsed/>
    <w:qFormat/>
    <w:rsid w:val="00ED3C4D"/>
    <w:pPr>
      <w:spacing w:before="120" w:after="0"/>
    </w:pPr>
    <w:rPr>
      <w:rFonts w:ascii="Arial" w:eastAsia="Arial" w:hAnsi="Arial" w:cs="Arial"/>
      <w:color w:val="000000"/>
      <w:sz w:val="18"/>
      <w:lang w:val="es-ES_tradnl" w:eastAsia="es-CO"/>
    </w:rPr>
  </w:style>
  <w:style w:type="character" w:customStyle="1" w:styleId="TextonotapieCar">
    <w:name w:val="Texto nota pie Car"/>
    <w:aliases w:val="Footnote Text Char Char Car,Footnote Text1 Char Car,Footnote Text Char Char Char Char Car"/>
    <w:basedOn w:val="Fuentedeprrafopredeter"/>
    <w:link w:val="Textonotapie"/>
    <w:uiPriority w:val="99"/>
    <w:rsid w:val="00ED3C4D"/>
    <w:rPr>
      <w:rFonts w:ascii="Arial" w:eastAsia="Arial" w:hAnsi="Arial" w:cs="Arial"/>
      <w:color w:val="000000"/>
      <w:sz w:val="18"/>
      <w:lang w:val="es-ES_tradnl" w:eastAsia="es-CO"/>
    </w:rPr>
  </w:style>
  <w:style w:type="table" w:styleId="Tablaconcuadrcula">
    <w:name w:val="Table Grid"/>
    <w:basedOn w:val="Tablanormal"/>
    <w:uiPriority w:val="59"/>
    <w:rsid w:val="000F102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Clara</dc:creator>
  <cp:lastModifiedBy>Juan Pablo</cp:lastModifiedBy>
  <cp:revision>2</cp:revision>
  <dcterms:created xsi:type="dcterms:W3CDTF">2016-10-18T23:17:00Z</dcterms:created>
  <dcterms:modified xsi:type="dcterms:W3CDTF">2016-10-18T23:17:00Z</dcterms:modified>
</cp:coreProperties>
</file>